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Osnovna škola Pavao Belas iz Brdovca, Ilije Gregorića 28, OIB 84055768255, koju zastupa Andrej Peklić,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5A326A">
        <w:rPr>
          <w:sz w:val="22"/>
          <w:szCs w:val="22"/>
        </w:rPr>
        <w:t xml:space="preserve">KRUH I </w:t>
      </w:r>
      <w:r w:rsidR="00FE2661">
        <w:rPr>
          <w:sz w:val="22"/>
          <w:szCs w:val="22"/>
        </w:rPr>
        <w:t>PEKARSKI</w:t>
      </w:r>
      <w:r w:rsidR="005A326A">
        <w:rPr>
          <w:sz w:val="22"/>
          <w:szCs w:val="22"/>
        </w:rPr>
        <w:t xml:space="preserve"> PROIZVODI</w:t>
      </w:r>
      <w:r w:rsidR="00B93EAF">
        <w:rPr>
          <w:sz w:val="22"/>
          <w:szCs w:val="22"/>
        </w:rPr>
        <w:t xml:space="preserve"> (za mliječni obrok)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0613D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2020-06-26T08:22:00Z</cp:lastPrinted>
  <dcterms:created xsi:type="dcterms:W3CDTF">2023-02-16T13:43:00Z</dcterms:created>
  <dcterms:modified xsi:type="dcterms:W3CDTF">2023-02-16T13:43:00Z</dcterms:modified>
</cp:coreProperties>
</file>